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64 WVG — Aufbewahrung der Bücher, Einsicht</w:t>
      </w:r>
    </w:p>
    <w:p>
      <w:r>
        <w:rPr>
          <w:color w:val="555555"/>
          <w:sz w:val="18"/>
        </w:rPr>
        <w:t xml:space="preserve">Wasserverbandsgesetz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Nach Beendigung der Abwicklung werden die Bücher und Schriften des aufgelösten Verbands bei der Aufsichtsbehörde aufbewahrt.</w:t>
      </w:r>
    </w:p>
    <w:p>
      <w:r>
        <w:t xml:space="preserve">(2) Die Verbandsmitglieder und ihre Rechtsnachfolger haben das Recht, bis zu zehn Jahre nach der Auflösung des Verbands die Bücher und Schriften einzusehen und zu benutzen.</w:t>
      </w:r>
    </w:p>
    <w:p>
      <w:r>
        <w:rPr>
          <w:color w:val="555555"/>
          <w:sz w:val="17"/>
        </w:rPr>
        <w:t xml:space="preserve">Zitiervorschlag: § 64 WVG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https://recht.nulegal.eu/gesetze/WVG/64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