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WVG — Satzung</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Rechtsverhältnisse des Verbands und die Rechtsbeziehungen zu den Verbandsmitgliedern werden durch eine Satzung geregelt, soweit nicht dieses Gesetz oder Rechtsvorschriften der Länder etwas anderes bestimmen.</w:t>
      </w:r>
    </w:p>
    <w:p>
      <w:r>
        <w:t xml:space="preserve">(2) Die Satzung muß mindestens Bestimmungen enthalten über:</w:t>
      </w:r>
    </w:p>
    <w:p>
      <w:pPr>
        <w:ind w:left="420"/>
      </w:pPr>
      <w:r>
        <w:t xml:space="preserve">1. Name und Sitz des Verbands,</w:t>
      </w:r>
    </w:p>
    <w:p>
      <w:pPr>
        <w:ind w:left="420"/>
      </w:pPr>
      <w:r>
        <w:t xml:space="preserve">2. Aufgabe und Unternehmen unter Hinweis auf die Pläne, soweit solche nach § 5 Abs. 2 erstellt werden,</w:t>
      </w:r>
    </w:p>
    <w:p>
      <w:pPr>
        <w:ind w:left="420"/>
      </w:pPr>
      <w:r>
        <w:t xml:space="preserve">3. Verbandsgebiet,</w:t>
      </w:r>
    </w:p>
    <w:p>
      <w:pPr>
        <w:ind w:left="420"/>
      </w:pPr>
      <w:r>
        <w:t xml:space="preserve">4. Mitgliedschaft und Mitgliederverzeichnis,</w:t>
      </w:r>
    </w:p>
    <w:p>
      <w:pPr>
        <w:ind w:left="420"/>
      </w:pPr>
      <w:r>
        <w:t xml:space="preserve">5. Beschränkungen des Grundeigentums, die von den Verbandsmitgliedern zu dulden sind, und diesen sonst obliegende Verpflichtungen,</w:t>
      </w:r>
    </w:p>
    <w:p>
      <w:pPr>
        <w:ind w:left="420"/>
      </w:pPr>
      <w:r>
        <w:t xml:space="preserve">6. Grundsätze für die Beitragsbemessung,</w:t>
      </w:r>
    </w:p>
    <w:p>
      <w:pPr>
        <w:ind w:left="420"/>
      </w:pPr>
      <w:r>
        <w:t xml:space="preserve">7. Bildung und Aufgaben der Verbandsorgane,</w:t>
      </w:r>
    </w:p>
    <w:p>
      <w:pPr>
        <w:ind w:left="420"/>
      </w:pPr>
      <w:r>
        <w:t xml:space="preserve">8. Verbandsschau,</w:t>
      </w:r>
    </w:p>
    <w:p>
      <w:pPr>
        <w:ind w:left="420"/>
      </w:pPr>
      <w:r>
        <w:t xml:space="preserve">9. Satzungsänderungen,</w:t>
      </w:r>
    </w:p>
    <w:p>
      <w:pPr>
        <w:ind w:left="420"/>
      </w:pPr>
      <w:r>
        <w:t xml:space="preserve">10. Bekanntmachungen des Verbands.</w:t>
      </w:r>
    </w:p>
    <w:p>
      <w:r>
        <w:t xml:space="preserve">(3) Wenn der Verband Beamte haben soll, muß die Satzung zusätzlich auch Bestimmungen über die Rechtsverhältnisse der Beamten des Verbands, insbesondere hinsichtlich des als oberste Dienstbehörde zuständigen Organs sowie der als Dienstvorgesetzte vorzusehenden Stelle, enthalten.</w:t>
      </w:r>
    </w:p>
    <w:p>
      <w:r>
        <w:rPr>
          <w:color w:val="555555"/>
          <w:sz w:val="17"/>
        </w:rPr>
        <w:t xml:space="preserve">Zitiervorschlag: § 6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