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WVG — Satzungsänderung durch die Aufsichtsbehörde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Aufsichtsbehörde kann eine Änderung der Satzung aus Gründen des öffentlichen Interesses fordern.</w:t>
      </w:r>
    </w:p>
    <w:p>
      <w:r>
        <w:t xml:space="preserve">(2) Kommt der Verband der Forderung innerhalb einer bestimmten Frist nicht nach, kann die Aufsichtsbehörde die Satzung ändern. § 58 Abs. 2 Satz 2 gilt auch für diesen Fall.</w:t>
      </w:r>
    </w:p>
    <w:p>
      <w:r>
        <w:rPr>
          <w:color w:val="555555"/>
          <w:sz w:val="17"/>
        </w:rPr>
        <w:t xml:space="preserve">Zitiervorschlag: § 59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