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WVG — Sitzungen des Vorstands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Verbandsvorsteher beruft den Vorstand nach Bedarf, mindestens jedoch einmal jährlich, zu Sitzungen ein.</w:t>
      </w:r>
    </w:p>
    <w:p>
      <w:r>
        <w:t xml:space="preserve">(2) Für die Beschlußfähigkeit und die Beschlußfassung im Vorstand gelten die Vorschriften der Verwaltungsverfahrensgesetze der Länder über die Ausschüsse, sofern die Satzung nichts anderes bestimmt.</w:t>
      </w:r>
    </w:p>
    <w:p>
      <w:r>
        <w:rPr>
          <w:color w:val="555555"/>
          <w:sz w:val="17"/>
        </w:rPr>
        <w:t xml:space="preserve">Zitiervorschlag: § 56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