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WVG — Gesetzliche Vertretung des Verbands</w:t>
      </w:r>
    </w:p>
    <w:p>
      <w:r>
        <w:rPr>
          <w:color w:val="555555"/>
          <w:sz w:val="18"/>
        </w:rPr>
        <w:t xml:space="preserve">Wasserverbandsgesetz</w:t>
      </w:r>
    </w:p>
    <w:p>
      <w:r>
        <w:rPr>
          <w:color w:val="555555"/>
          <w:sz w:val="18"/>
        </w:rPr>
        <w:t xml:space="preserve">Stand: 10.06.2019 (konsolidierte Textfassung, kein amtliches Inkrafttretensdatum)</w:t>
      </w:r>
    </w:p>
    <w:p>
      <w:r>
        <w:t xml:space="preserve">(1) Der Vorstand vertritt den Verband gerichtlich und außergerichtlich. Die Satzung kann bestimmen, daß der Verbandsvorsteher allein oder nur gemeinschaftlich mit einem anderen Vorstandsmitglied zur Vertretung befugt ist. Die Satzung kann ferner einem Geschäftsführer des Verbands bestimmte Vertretungsbefugnisse zuweisen. Die Aufsichtsbehörde erteilt den vertretungsbefugten Personen eine Bestätigung über die jeweilige Vertretungsbefugnis.</w:t>
      </w:r>
    </w:p>
    <w:p>
      <w:r>
        <w:t xml:space="preserve">(2) Erklärungen, durch die der Verband verpflichtet werden soll, bedürfen der Schriftform; sie sind nach Maßgabe der für den jeweiligen Fall geltenden Regelungen von dem oder den Vertretungsberechtigten zu unterzeichnen. Wird für ein Geschäft oder für einen Kreis von Geschäften ein Bevollmächtigter bestellt, so bedarf die Vollmacht der Form des Satzes 1. Ist eine Erklärung gegenüber dem Vorstand abzugeben, genügt es, wenn sie einem Vorstandsmitglied oder einem vertretungsbefugten Geschäftsführer gegenüber abgegeben wird.</w:t>
      </w:r>
    </w:p>
    <w:p>
      <w:r>
        <w:rPr>
          <w:color w:val="555555"/>
          <w:sz w:val="17"/>
        </w:rPr>
        <w:t xml:space="preserve">Zitiervorschlag: § 55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