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WVG — Geschäfte des Vorstands</w:t>
      </w:r>
    </w:p>
    <w:p>
      <w:r>
        <w:rPr>
          <w:color w:val="555555"/>
          <w:sz w:val="18"/>
        </w:rPr>
        <w:t xml:space="preserve">Wasserverbandsgesetz</w:t>
      </w:r>
    </w:p>
    <w:p>
      <w:r>
        <w:rPr>
          <w:color w:val="555555"/>
          <w:sz w:val="18"/>
        </w:rPr>
        <w:t xml:space="preserve">Stand: 10.06.2019 (konsolidierte Textfassung, kein amtliches Inkrafttretensdatum)</w:t>
      </w:r>
    </w:p>
    <w:p>
      <w:r>
        <w:t xml:space="preserve">(1) Der Vorstand leitet den Verband nach Maßgabe dieses Gesetzes und der Satzung in Übereinstimmung mit den von der Verbandsversammlung beschlossenen Grundsätzen. Ihm obliegen alle Geschäfte, zu denen nicht durch Gesetz oder Satzung die Verbandsversammlung berufen ist.</w:t>
      </w:r>
    </w:p>
    <w:p>
      <w:r>
        <w:t xml:space="preserve">(2) Die Vorstandsmitglieder haben bei der Erfüllung ihrer Aufgaben die erforderliche Sorgfalt anzuwenden. Sie sind dem Verband insbesondere dafür verantwortlich, daß die Bestimmungen der Satzung eingehalten und die Beschlüsse der Verbandsversammlung ausgeführt werden. Ein Vorstandsmitglied, das seine Obliegenheiten vorsätzlich oder grob fahrlässig verletzt, ist dem Verband zum Ersatz des daraus entstehenden Schadens verpflichtet. Der Schadenersatzanspruch verjährt in drei Jahren von dem Zeitpunkt an, in welchem der Verband von dem Schaden und der Person des Ersatzpflichtigen Kenntnis erlangt.</w:t>
      </w:r>
    </w:p>
    <w:p>
      <w:r>
        <w:rPr>
          <w:color w:val="555555"/>
          <w:sz w:val="17"/>
        </w:rPr>
        <w:t xml:space="preserve">Zitiervorschlag: § 54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