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WVG — Sitzungen des Verbandsausschusses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Verbandsausschuß hat jedes Mitglied eine Stimme. Eine andere Regelung durch die Satzung ist zulässig.</w:t>
      </w:r>
    </w:p>
    <w:p>
      <w:r>
        <w:t xml:space="preserve">(2) Der Verbandsvorsteher ist Vorsitzender des Verbandsausschusses ohne Stimmrecht.</w:t>
      </w:r>
    </w:p>
    <w:p>
      <w:r>
        <w:rPr>
          <w:color w:val="555555"/>
          <w:sz w:val="17"/>
        </w:rPr>
        <w:t xml:space="preserve">Zitiervorschlag: § 50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