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WVG — Verbandsausschuß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Verband keine Verbandsversammlung, obliegen deren Aufgaben einem Verbandsausschuß. Die Vorschriften dieses Gesetzes über die Verbandsversammlung gelten für den Verbandsausschuß entsprechend, sofern dieses Gesetz keine abweichende Regelung trifft.</w:t>
      </w:r>
    </w:p>
    <w:p>
      <w:r>
        <w:t xml:space="preserve">(2) Die Verbandsmitglieder wählen die Mitglieder des Verbandsausschusses in durch die Satzung bestimmten Zeitabständen aus ihrer Mitte in einer Mitgliederversammlung; die Satzung kann ein anderes Wahlverfahren zulassen. Wiederwahl ist möglich. Die Satzung kann für jedes Mitglied des Verbandsausschusses einen ständigen Vertreter zulassen.</w:t>
      </w:r>
    </w:p>
    <w:p>
      <w:r>
        <w:rPr>
          <w:color w:val="555555"/>
          <w:sz w:val="17"/>
        </w:rPr>
        <w:t xml:space="preserve">Zitiervorschlag: § 49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