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WVG — Sitzungen der Verbandsversammlung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Verbandsvorsteher beruft die Verbandsversammlung nach Bedarf, mindestens einmal im Jahr, ein; die Sitzungen der Verbandsversammlung sind nicht öffentlich. Die Satzung kann eine abweichende Regelung vorsehen.</w:t>
      </w:r>
    </w:p>
    <w:p>
      <w:r>
        <w:t xml:space="preserve">(2) Für die Beschlußfähigkeit und die Beschlußfassung der Verbandsversammlung gelten, soweit dieses Gesetz oder die Satzung nichts anderes bestimmt, die Vorschriften der Verwaltungsverfahrensgesetze der Länder über die Ausschüsse; für die Beschlußfähigkeit genügt jedoch die Anwesenheit von einem Zehntel der Mitglieder.</w:t>
      </w:r>
    </w:p>
    <w:p>
      <w:r>
        <w:t xml:space="preserve">(3) Für das Stimmrecht der Mitglieder gelten § 13 Abs. 1 Satz 3 sowie Abs. 2, § 14 Abs. 6 zweiter Halbsatz und § 15 Abs. 2 Sätze 2 und 3 sowie Abs. 3 Satz 1 entsprechend, soweit die Satzung keine andere Regelung enthält.</w:t>
      </w:r>
    </w:p>
    <w:p>
      <w:r>
        <w:t xml:space="preserve">(4) Der Verbandsvorsteher oder bei seiner Verhinderung sein Vertreter leitet die Verbandsversammlung. Wenn er selbst Verbandsmitglied ist, hat er Stimmrecht.</w:t>
      </w:r>
    </w:p>
    <w:p>
      <w:r>
        <w:rPr>
          <w:color w:val="555555"/>
          <w:sz w:val="17"/>
        </w:rPr>
        <w:t xml:space="preserve">Zitiervorschlag: § 48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