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46 WVG — Organe</w:t>
      </w:r>
    </w:p>
    <w:p>
      <w:r>
        <w:rPr>
          <w:color w:val="555555"/>
          <w:sz w:val="18"/>
        </w:rPr>
        <w:t xml:space="preserve">Wasserverbandsgesetz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Organe des Verbands sind die Versammlung der Verbandsmitglieder (Verbandsversammlung) und der Vorstand. Die Satzung kann bestimmen, daß der Verband anstelle der Verbandsversammlung einen Verbandsausschuß als Vertreterversammlung der Verbandsmitglieder hat.</w:t>
      </w:r>
    </w:p>
    <w:p>
      <w:r>
        <w:t xml:space="preserve">(2) Die Organe können eine andere Bezeichnung führen.</w:t>
      </w:r>
    </w:p>
    <w:p>
      <w:r>
        <w:rPr>
          <w:color w:val="555555"/>
          <w:sz w:val="17"/>
        </w:rPr>
        <w:t xml:space="preserve">Zitiervorschlag: § 46 WVG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https://recht.nulegal.eu/gesetze/WVG/46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