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WVG — Durchführung der Verbandsschau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Vorstand bestimmt Ort und Zeit der Verbandsschau. Er hat die Schaubeauftragten, die Aufsichtsbehörde und sonstige Beteiligte, insbesondere technische und landwirtschaftliche Fachbehörden, rechtzeitig zur Verbandsschau einzuladen.</w:t>
      </w:r>
    </w:p>
    <w:p>
      <w:r>
        <w:t xml:space="preserve">(2) Über den Verlauf und das Ergebnis der Verbandsschau ist eine Niederschrift zu fertigen. Diese ist vom Schaubeauftragten zu unterzeichnen.</w:t>
      </w:r>
    </w:p>
    <w:p>
      <w:r>
        <w:t xml:space="preserve">(3) Der Vorstand veranlaßt die Beseitigung festgestellter Mängel.</w:t>
      </w:r>
    </w:p>
    <w:p>
      <w:r>
        <w:rPr>
          <w:color w:val="555555"/>
          <w:sz w:val="17"/>
        </w:rPr>
        <w:t xml:space="preserve">Zitiervorschlag: § 45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