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WVG — Zweck und Gegenstand der Enteignung</w:t>
      </w:r>
    </w:p>
    <w:p>
      <w:r>
        <w:rPr>
          <w:color w:val="555555"/>
          <w:sz w:val="18"/>
        </w:rPr>
        <w:t xml:space="preserve">Wasserverbandsgesetz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Erfüllung der Verbandsaufgaben kann enteignet werden.</w:t>
      </w:r>
    </w:p>
    <w:p>
      <w:r>
        <w:t xml:space="preserve">(2) Die Enteignung darf sich nur auf die zum Verbandsgebiet oder Unterverbandsgebiet gehörenden Grundstücke und das nicht dazu gehörende Deichvorland erstrecken; grundstücksgleiche Rechte stehen den Grundstücken und dem Eigentum an Grundstücken gleich, Grundstücksteile gelten als Grundstücke.</w:t>
      </w:r>
    </w:p>
    <w:p>
      <w:r>
        <w:t xml:space="preserve">(3) Durch Enteignung können</w:t>
      </w:r>
    </w:p>
    <w:p>
      <w:pPr>
        <w:ind w:left="420"/>
      </w:pPr>
      <w:r>
        <w:t xml:space="preserve">1. das Eigentum an Grundstücken entzogen oder belastet werden,</w:t>
      </w:r>
    </w:p>
    <w:p>
      <w:pPr>
        <w:ind w:left="420"/>
      </w:pPr>
      <w:r>
        <w:t xml:space="preserve">2. andere Rechte an Grundstücken entzogen oder belastet werden,</w:t>
      </w:r>
    </w:p>
    <w:p>
      <w:pPr>
        <w:ind w:left="420"/>
      </w:pPr>
      <w:r>
        <w:t xml:space="preserve">3. Rechte entzogen werden, die zum Erwerb, zum Besitz oder zur Nutzung von Grundstücken berechtigen oder die den Verpflichteten in der Benutzung von Grundstücken beschränken oder</w:t>
      </w:r>
    </w:p>
    <w:p>
      <w:pPr>
        <w:ind w:left="420"/>
      </w:pPr>
      <w:r>
        <w:t xml:space="preserve">4. Rechtsverhältnisse begründet werden, die Rechte der in Nummer 3 bezeichneten Art gewähren.</w:t>
      </w:r>
    </w:p>
    <w:p>
      <w:r>
        <w:rPr>
          <w:color w:val="555555"/>
          <w:sz w:val="17"/>
        </w:rPr>
        <w:t xml:space="preserve">Zitiervorschlag: § 40 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https://recht.nulegal.eu/gesetze/WVG/40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