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WVG — Mögliche Verbandsmitglieder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Verbandsmitglieder können sein:</w:t>
      </w:r>
    </w:p>
    <w:p>
      <w:pPr>
        <w:ind w:left="420"/>
      </w:pPr>
      <w:r>
        <w:t xml:space="preserve">1. jeweilige Eigentümer von Grundstücken und Anlagen, jeweilige Erbbauberechtigte sowie Inhaber von Bergwerkseigentum (dingliche Verbandsmitglieder),</w:t>
      </w:r>
    </w:p>
    <w:p>
      <w:pPr>
        <w:ind w:left="420"/>
      </w:pPr>
      <w:r>
        <w:t xml:space="preserve">2. Personen, denen der Verband im Rahmen seiner Aufgaben Pflichten abnimmt oder erleichtert,</w:t>
      </w:r>
    </w:p>
    <w:p>
      <w:pPr>
        <w:ind w:left="420"/>
      </w:pPr>
      <w:r>
        <w:t xml:space="preserve">3. Körperschaften des öffentlichen Rechts,</w:t>
      </w:r>
    </w:p>
    <w:p>
      <w:pPr>
        <w:ind w:left="420"/>
      </w:pPr>
      <w:r>
        <w:t xml:space="preserve">4. andere Personen, wenn die nach Landesrecht zuständige Behörde (Aufsichtsbehörde) sie zuläßt,</w:t>
      </w:r>
    </w:p>
    <w:p>
      <w:pPr>
        <w:ind w:left="420"/>
      </w:pPr>
      <w:r>
        <w:t xml:space="preserve">5. der Träger der Baulast einer Verkehrsanlage, der nicht unter Nummer 1 fällt.</w:t>
      </w:r>
    </w:p>
    <w:p>
      <w:r>
        <w:t xml:space="preserve">(2) Dem Bergwerkseigentum im Sinne des Absatzes 1 Nr. 1 stehen die Bewilligung im Sinne des Bundesberggesetzes sowie auch Bergwerkseigentum und Bewilligungen, die aufgehoben, widerrufen oder erloschen sind, gleich.</w:t>
      </w:r>
    </w:p>
    <w:p>
      <w:r>
        <w:rPr>
          <w:color w:val="555555"/>
          <w:sz w:val="17"/>
        </w:rPr>
        <w:t xml:space="preserve">Zitiervorschlag: § 4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