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WVG — Rechtsverhältnisse bei abgeleiteten Grundstücksnutzungen</w:t>
      </w:r>
    </w:p>
    <w:p>
      <w:r>
        <w:rPr>
          <w:color w:val="555555"/>
          <w:sz w:val="18"/>
        </w:rPr>
        <w:t xml:space="preserve">Wasserverbandsgesetz</w:t>
      </w:r>
    </w:p>
    <w:p>
      <w:r>
        <w:rPr>
          <w:color w:val="555555"/>
          <w:sz w:val="18"/>
        </w:rPr>
        <w:t xml:space="preserve">Stand: 10.06.2019 (konsolidierte Textfassung, kein amtliches Inkrafttretensdatum)</w:t>
      </w:r>
    </w:p>
    <w:p>
      <w:r>
        <w:t xml:space="preserve">(1) Wird ein zum Verband gehörendes Grundstück zu der Zeit, zu der es von dem Unternehmen betroffen wird, auf Grund eines vom Eigentümer abgeleiteten Rechts genutzt, hat der Nutzungsberechtigte vorbehaltlich einer abweichenden vertraglichen Regelung gegen den Eigentümer Anspruch auf die durch das Verbandsunternehmen entstehenden Vorteile. Der Nutzungsberechtigte ist in diesem Falle dem Eigentümer gegenüber verpflichtet, die Beiträge an den Verband zu leisten.</w:t>
      </w:r>
    </w:p>
    <w:p>
      <w:r>
        <w:t xml:space="preserve">(2) Im Falle des Absatzes 1 kann der Nutzungsberechtigte unbeschadet der ihm nach Gesetz, Satzung oder Vertrag zustehenden Rechte innerhalb eines Jahres</w:t>
      </w:r>
    </w:p>
    <w:p>
      <w:pPr>
        <w:ind w:left="420"/>
      </w:pPr>
      <w:r>
        <w:t xml:space="preserve">1. ein Pacht- oder Mietverhältnis unter Einhaltung einer Frist von drei Monaten zum Ende des Vertragsjahres kündigen,</w:t>
      </w:r>
    </w:p>
    <w:p>
      <w:pPr>
        <w:ind w:left="420"/>
      </w:pPr>
      <w:r>
        <w:t xml:space="preserve">2. die Aufhebung eines anderen Nutzungsrechts ohne Einhaltung einer Frist verlangen.</w:t>
      </w:r>
    </w:p>
    <w:p>
      <w:r>
        <w:rPr>
          <w:color w:val="555555"/>
          <w:sz w:val="17"/>
        </w:rPr>
        <w:t xml:space="preserve">Zitiervorschlag: § 39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