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WVG — Ausgleichsverfahren</w:t>
      </w:r>
    </w:p>
    <w:p>
      <w:r>
        <w:rPr>
          <w:color w:val="555555"/>
          <w:sz w:val="18"/>
        </w:rPr>
        <w:t xml:space="preserve">Wasserverbandsgesetz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Kommt eine Einigung über den Ausgleich nicht zustande, entscheidet der Vorstand darüber durch schriftlichen Bescheid.</w:t>
      </w:r>
    </w:p>
    <w:p>
      <w:r>
        <w:rPr>
          <w:color w:val="555555"/>
          <w:sz w:val="17"/>
        </w:rPr>
        <w:t xml:space="preserve">Zitiervorschlag: § 37 WVG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https://recht.nulegal.eu/gesetze/WVG/37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