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WVG — Ausgleich für Nachteile</w:t>
      </w:r>
    </w:p>
    <w:p>
      <w:r>
        <w:rPr>
          <w:color w:val="555555"/>
          <w:sz w:val="18"/>
        </w:rPr>
        <w:t xml:space="preserve">Wasserverbandsgesetz</w:t>
      </w:r>
    </w:p>
    <w:p>
      <w:r>
        <w:rPr>
          <w:color w:val="555555"/>
          <w:sz w:val="18"/>
        </w:rPr>
        <w:t xml:space="preserve">Stand: 10.06.2019 (konsolidierte Textfassung, kein amtliches Inkrafttretensdatum)</w:t>
      </w:r>
    </w:p>
    <w:p>
      <w:r>
        <w:t xml:space="preserve">(1) Entstehen durch die Benutzung von Grundstücken nach den §§ 33 bis 35 dem Betroffenen unmittelbare Vermögensnachteile, kann er einen Ausgleich verlangen.</w:t>
      </w:r>
    </w:p>
    <w:p>
      <w:r>
        <w:t xml:space="preserve">(2) Kann der Ausgleich nicht durch Maßnahmen im Rahmen des Unternehmens durchgeführt werden, ist eine angemessene Entschädigung in Geld zu leisten. Bei der Festsetzung der Entschädigung bleiben eine Beeinträchtigung der Nutzung und eine Wertminderung des Grundstücks außer Ansatz, soweit sie bei Durchführung des Unternehmens durch einen Vorteil ausgeglichen werden, der bei der Festsetzung eines Verbandsbeitrags unberücksichtigt bleibt.</w:t>
      </w:r>
    </w:p>
    <w:p>
      <w:r>
        <w:rPr>
          <w:color w:val="555555"/>
          <w:sz w:val="17"/>
        </w:rPr>
        <w:t xml:space="preserve">Zitiervorschlag: § 36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