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WVG — Benutzung der Grundstücke dinglicher Verbandsmitglieder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Verband ist berechtigt, Grundstücke, welche die dingliche Mitgliedschaft bei ihm oder einem seiner Unterverbände begründen, zu betreten und zu benutzen, soweit dies für die Durchführung des Unternehmens erforderlich ist.</w:t>
      </w:r>
    </w:p>
    <w:p>
      <w:r>
        <w:t xml:space="preserve">(2) Die Satzung kann zur leichteren Durchführung der Verbandsaufgaben weitere Beschränkungen des Grundeigentums vorsehen.</w:t>
      </w:r>
    </w:p>
    <w:p>
      <w:r>
        <w:t xml:space="preserve">(3) Die für das Unternehmen benötigten Stoffe können - vorbehaltlich nach anderen Rechtsvorschriften erforderlicher Genehmigungen - aus den im Verbandsgebiet belegenen Grundstücken entnommen werden.</w:t>
      </w:r>
    </w:p>
    <w:p>
      <w:r>
        <w:rPr>
          <w:color w:val="555555"/>
          <w:sz w:val="17"/>
        </w:rPr>
        <w:t xml:space="preserve">Zitiervorschlag: § 33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