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WVG — Erhebung der Verbandsbeiträge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Verband erhebt die Verbandsbeiträge auf der Grundlage des für ihn geltenden Beitragsmaßstabs durch Beitragsbescheid.</w:t>
      </w:r>
    </w:p>
    <w:p>
      <w:r>
        <w:t xml:space="preserve">(2) Die Satzung kann zulassen, daß die Erhebung der Verbandsbeiträge Stellen außerhalb des Verbands übertragen wird.</w:t>
      </w:r>
    </w:p>
    <w:p>
      <w:r>
        <w:t xml:space="preserve">(3) Durch die Satzung können Zuschläge zu rückständigen Verbandsbeiträgen vorgeschrieben werden.</w:t>
      </w:r>
    </w:p>
    <w:p>
      <w:r>
        <w:t xml:space="preserve">(4) Für die Verjährung sind die Vorschriften der Abgabenordnung entsprechend anzuwenden.</w:t>
      </w:r>
    </w:p>
    <w:p>
      <w:r>
        <w:t xml:space="preserve">(5) Jedem Verbandsmitglied ist auf Verlangen Einsicht in die ihn betreffenden Beitragsunterlagen zu gewähren.</w:t>
      </w:r>
    </w:p>
    <w:p>
      <w:r>
        <w:rPr>
          <w:color w:val="555555"/>
          <w:sz w:val="17"/>
        </w:rPr>
        <w:t xml:space="preserve">Zitiervorschlag: § 31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