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WVG — Maßstab für Verbandsbeiträge</w:t>
      </w:r>
    </w:p>
    <w:p>
      <w:r>
        <w:rPr>
          <w:color w:val="555555"/>
          <w:sz w:val="18"/>
        </w:rPr>
        <w:t xml:space="preserve">Wasserverbandsgesetz</w:t>
      </w:r>
    </w:p>
    <w:p>
      <w:r>
        <w:rPr>
          <w:color w:val="555555"/>
          <w:sz w:val="18"/>
        </w:rPr>
        <w:t xml:space="preserve">Stand: 10.06.2019 (konsolidierte Textfassung, kein amtliches Inkrafttretensdatum)</w:t>
      </w:r>
    </w:p>
    <w:p>
      <w:r>
        <w:t xml:space="preserve">(1) Der Beitrag der Verbandsmitglieder und der Nutznießer bemißt sich nach dem Vorteil, den sie von der Aufgabe des Verbands haben, sowie den Kosten, die der Verband auf sich nimmt, um ihnen obliegende Leistungen zu erbringen oder den von ihnen ausgehenden nachteiligen Einwirkungen zu begegnen. Für die Festlegung des Beitragsmaßstabs reicht eine annähernde Ermittlung der Vorteile und Kosten aus.</w:t>
      </w:r>
    </w:p>
    <w:p>
      <w:r>
        <w:t xml:space="preserve">(2) Die Satzung kann für bestimmte Maßnahmen die Verbandsbeiträge entsprechend den für die einzelnen Grundstücke tatsächlich entstehenden Kosten festsetzen oder allgemein einen von Absatz 1 abweichenden Beitragsmaßstab festlegen.</w:t>
      </w:r>
    </w:p>
    <w:p>
      <w:r>
        <w:rPr>
          <w:color w:val="555555"/>
          <w:sz w:val="17"/>
        </w:rPr>
        <w:t xml:space="preserve">Zitiervorschlag: § 30 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https://recht.nulegal.eu/gesetze/WVG/30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