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WVG — Name</w:t>
      </w:r>
    </w:p>
    <w:p>
      <w:r>
        <w:rPr>
          <w:color w:val="555555"/>
          <w:sz w:val="18"/>
        </w:rPr>
        <w:t xml:space="preserve">Wasserverbandsgesetz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Name des Verbands soll seine Eigenschaft als Wasser- und Bodenverband, seine Hauptaufgabe und seinen räumlichen Wirkungsbereich erkennen lassen.</w:t>
      </w:r>
    </w:p>
    <w:p>
      <w:r>
        <w:t xml:space="preserve">(2) Die bei Inkrafttreten dieses Gesetzes geltenden Bezeichnungen der Verbände können beibehalten werden.</w:t>
      </w:r>
    </w:p>
    <w:p>
      <w:r>
        <w:rPr>
          <w:color w:val="555555"/>
          <w:sz w:val="17"/>
        </w:rPr>
        <w:t xml:space="preserve">Zitiervorschlag: § 3 WVG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https://recht.nulegal.eu/gesetze/WVG/3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