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WVG — Verfahren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einer Entscheidung nach den §§ 23 und 24 sind im Fall des</w:t>
      </w:r>
    </w:p>
    <w:p>
      <w:pPr>
        <w:ind w:left="420"/>
      </w:pPr>
      <w:r>
        <w:t xml:space="preserve">a) § 23 Abs. 1 die Verbandsversammlung oder der Verbandsausschuß,</w:t>
      </w:r>
    </w:p>
    <w:p>
      <w:pPr>
        <w:ind w:left="420"/>
      </w:pPr>
      <w:r>
        <w:t xml:space="preserve">b) § 23 Abs. 2 der Vorstand sowie die künftigen Verbandsmitglieder</w:t>
      </w:r>
    </w:p>
    <w:p>
      <w:pPr>
        <w:ind w:left="420"/>
      </w:pPr>
      <w:r>
        <w:t xml:space="preserve">c) § 24 Abs. 1 die Verbandsversammlung oder der Verbandsausschuß</w:t>
      </w:r>
    </w:p>
    <w:p>
      <w:r>
        <w:t xml:space="preserve">zu hören.</w:t>
      </w:r>
    </w:p>
    <w:p>
      <w:r>
        <w:t xml:space="preserve">(2) Sind mehr als 50 Verbandsmitglieder oder künftige Verbandsmitglieder zu hören, kann die Anhörung durch die Möglichkeit der Einsicht in die Unterlagen über die Angelegenheit ersetzt werden; dies ist öffentlich bekanntzumachen.</w:t>
      </w:r>
    </w:p>
    <w:p>
      <w:r>
        <w:rPr>
          <w:color w:val="555555"/>
          <w:sz w:val="17"/>
        </w:rPr>
        <w:t xml:space="preserve">Zitiervorschlag: § 25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