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WVG — Aufhebung der Mitgliedschaft</w:t>
      </w:r>
    </w:p>
    <w:p>
      <w:r>
        <w:rPr>
          <w:color w:val="555555"/>
          <w:sz w:val="18"/>
        </w:rPr>
        <w:t xml:space="preserve">Wasserverbandsgesetz</w:t>
      </w:r>
    </w:p>
    <w:p>
      <w:r>
        <w:rPr>
          <w:color w:val="555555"/>
          <w:sz w:val="18"/>
        </w:rPr>
        <w:t xml:space="preserve">Stand: 10.06.2019 (konsolidierte Textfassung, kein amtliches Inkrafttretensdatum)</w:t>
      </w:r>
    </w:p>
    <w:p>
      <w:r>
        <w:t xml:space="preserve">(1) Verbandsmitglieder, deren Vorteil aus der Durchführung der Verbandsaufgabe oder deren Last entfallen ist, sind berechtigt, die Aufhebung ihrer Mitgliedschaft zu verlangen. Dies gilt nicht, wenn das Verbandsmitglied den Vorteil durch eigene Maßnahmen beseitigt hat oder wenn durch die Aufhebung der Mitgliedschaft erhebliche Nachteile für das öffentliche Interesse, den Verband oder dessen Gläubiger zu besorgen sind; Nachteile für den Verband sind insbesondere in den Fällen des § 8 Abs. 1 Nr. 2 und 3 anzunehmen.</w:t>
      </w:r>
    </w:p>
    <w:p>
      <w:r>
        <w:t xml:space="preserve">(2) Über den Antrag auf Aufhebung der Mitgliedschaft entscheidet der Vorstand. Will er dem Antrag stattgeben, hat er dies der Aufsichtsbehörde anzuzeigen. Diese kann der Absicht innerhalb von zwei Monaten aus den in Absatz 1 Satz 2 aufgeführten Gründen widersprechen; widerspricht sie, so ist die Aufhebung der Mitgliedschaft nicht zulässig.</w:t>
      </w:r>
    </w:p>
    <w:p>
      <w:r>
        <w:t xml:space="preserve">(3) Die Aufsichtsbehörde kann Verpflichtungen des Verbands und des betreffenden Verbandsmitglieds festsetzen, um unbillige Folgen der Aufhebung der Mitgliedschaft zu verhüten.</w:t>
      </w:r>
    </w:p>
    <w:p>
      <w:r>
        <w:rPr>
          <w:color w:val="555555"/>
          <w:sz w:val="17"/>
        </w:rPr>
        <w:t xml:space="preserve">Zitiervorschlag: § 24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