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WVG — Begründung und Erweiterung der Mitgliedschaft bei bestehenden Verbänden</w:t>
      </w:r>
    </w:p>
    <w:p>
      <w:r>
        <w:rPr>
          <w:color w:val="555555"/>
          <w:sz w:val="18"/>
        </w:rPr>
        <w:t xml:space="preserve">Wasserverbandsgesetz</w:t>
      </w:r>
    </w:p>
    <w:p>
      <w:r>
        <w:rPr>
          <w:color w:val="555555"/>
          <w:sz w:val="18"/>
        </w:rPr>
        <w:t xml:space="preserve">Stand: 10.06.2019 (konsolidierte Textfassung, kein amtliches Inkrafttretensdatum)</w:t>
      </w:r>
    </w:p>
    <w:p>
      <w:r>
        <w:t xml:space="preserve">(1) Wer einen Vorteil aus der Durchführung der Verbandsaufgabe zu erwarten oder wer Maßnahmen des Verbands zu dulden hat, hat Anspruch auf Aufnahme als Verbandsmitglied in einen bestehenden Verband. Über den Aufnahmeantrag entscheidet der Vorstand.</w:t>
      </w:r>
    </w:p>
    <w:p>
      <w:r>
        <w:t xml:space="preserve">(2) Die Aufsichtsbehörde kann, soweit dies zur ordnungsgemäßen Erfüllung der Verbandsaufgaben erforderlich ist, Personen, die die in § 8 Abs. 1 Nr. 1 bis 3 genannten Voraussetzungen erfüllen, gegen ihren Willen zur Mitgliedschaft in einem bestehenden Verband heranziehen oder eine bestehende Mitgliedschaft erweitern.</w:t>
      </w:r>
    </w:p>
    <w:p>
      <w:r>
        <w:rPr>
          <w:color w:val="555555"/>
          <w:sz w:val="17"/>
        </w:rPr>
        <w:t xml:space="preserve">Zitiervorschlag: § 23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