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WVG — Verfahrenskosten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Bare Auslagen, die einem antragstellenden Beteiligten (§ 11 Abs. 1) für die Beschaffung oder Erstellung von Errichtungsunterlagen erwachsen, sind von dem Verband zu erstatten; das gleiche gilt für bare Auslagen, die der Aufsichtsbehörde nach § 11 Abs. 4 und § 12 Abs. 2 erwachsen.</w:t>
      </w:r>
    </w:p>
    <w:p>
      <w:r>
        <w:t xml:space="preserve">(2) Die Aufsichtsbehörde kann die baren Auslagen, die im Errichtungsverfahren durch zurückgewiesene oder zurückgenommene Anträge oder Einwendungen entstehen, dem jeweiligen Antragsteller oder Einwendenden auferlegen.</w:t>
      </w:r>
    </w:p>
    <w:p>
      <w:r>
        <w:t xml:space="preserve">(3) Alle übrigen im Errichtungsverfahren entstehenden zweckdienlichen Kosten trägt der Verband; dies gilt nicht für Kosten, die einem Beteiligten anläßlich der Teilnahme an Verfahrensverhandlungen oder aus der Wahrnehmung seiner Interessen erwachsen.</w:t>
      </w:r>
    </w:p>
    <w:p>
      <w:r>
        <w:rPr>
          <w:color w:val="555555"/>
          <w:sz w:val="17"/>
        </w:rPr>
        <w:t xml:space="preserve">Zitiervorschlag: § 21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