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WVG — Errichtung von Amts wegen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ein Verband von Amts wegen errichtet werden, hat die Aufsichtsbehörde mindestens die in § 11 Abs. 2 genannten Unterlagen zu erstellen oder zu beschaffen. Die §§ 9, 12 und 13 Abs. 1 Satz 1 gelten auch für die Errichtung von Amts wegen; § 7 Abs. 3 und § 13 Abs. 3 sind entsprechend anzuwenden.</w:t>
      </w:r>
    </w:p>
    <w:p>
      <w:r>
        <w:t xml:space="preserve">(2) Den Beteiligten ist in einem oder mehreren Anhörungsterminen Gelegenheit zur Stellungnahme zu geben. § 14 Abs. 1 und 4 bis 6 und § 15 Abs. 4 gelten entsprechend.</w:t>
      </w:r>
    </w:p>
    <w:p>
      <w:r>
        <w:rPr>
          <w:color w:val="555555"/>
          <w:sz w:val="17"/>
        </w:rPr>
        <w:t xml:space="preserve">Zitiervorschlag: § 16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