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WVG — Beschlußfassung</w:t>
      </w:r>
    </w:p>
    <w:p>
      <w:r>
        <w:rPr>
          <w:color w:val="555555"/>
          <w:sz w:val="18"/>
        </w:rPr>
        <w:t xml:space="preserve">Wasserverbandsgesetz</w:t>
      </w:r>
    </w:p>
    <w:p>
      <w:r>
        <w:rPr>
          <w:color w:val="555555"/>
          <w:sz w:val="18"/>
        </w:rPr>
        <w:t xml:space="preserve">Stand: 10.06.2019 (konsolidierte Textfassung, kein amtliches Inkrafttretensdatum)</w:t>
      </w:r>
    </w:p>
    <w:p>
      <w:r>
        <w:t xml:space="preserve">(1) Beschlußfähigkeit besteht, wenn die anwesenden Beteiligten mindestens die Hälfte der nach § 13 Abs. 1 Satz 2 festgelegten Stimmenzahl auf sich vereinen. Fehlt die Beschlußfähigkeit, kann ein neuer Verhandlungstermin mit derselben Tagesordnung sowie der Maßgabe anberaumt werden, daß Beschlüsse ohne Rücksicht auf die vertretenen Stimmenzahlen gefaßt werden können; hierauf ist in der Ladung hinzuweisen.</w:t>
      </w:r>
    </w:p>
    <w:p>
      <w:r>
        <w:t xml:space="preserve">(2) Für die Beschlußfassung genügt einfache Mehrheit der Beteiligten. Stimmen von Beteiligten im Sinne des § 14 Abs. 6 sind nur zu berücksichtigen, wenn sie übereinstimmend abgegeben sind. Für die Vertretung sind die Verfahrensvorschriften des Verwaltungsverfahrensrechts der Länder sinngemäß anzuwenden.</w:t>
      </w:r>
    </w:p>
    <w:p>
      <w:r>
        <w:t xml:space="preserve">(3) Die Mehrheit wird nach den einheitlich abzugebenden Stimmenzahlen oder einem anderen von vier Fünfteln der erschienenen Beteiligten nach Kopfzahl beschlossenen Maßstab errechnet. Ordnungsgemäß geladene Beteiligte, die an der Abstimmung nicht teilnehmen, werden so behandelt, als hätten sie der Errichtung zugestimmt, sofern sie dem nicht vor dem Termin schriftlich widersprochen haben. Hierauf ist in der Ladung hinzuweisen.</w:t>
      </w:r>
    </w:p>
    <w:p>
      <w:r>
        <w:t xml:space="preserve">(4) Über jede Verhandlung hat die Aufsichtsbehörde eine Niederschrift zu fertigen, in die auch Anträge und Einwendungen im Sinne des § 14 Abs. 4 aufzunehmen sind. Die Niederschrift ist den an der Verhandlung Beteiligten vorzulesen oder vorzulegen. In der Niederschrift ist zu vermerken, daß dies geschehen und ob sie genehmigt ist oder welche Einwendungen gegen sie erhoben sind. Verweigert ein Beteiligter die Genehmigung der Verhandlungsniederschrift, ohne ihre Vervollständigung oder Berichtigung zu beantragen, so gilt diese Niederschrift als genehmigt; hierauf ist der Beteiligte hinzuweisen.</w:t>
      </w:r>
    </w:p>
    <w:p>
      <w:r>
        <w:rPr>
          <w:color w:val="555555"/>
          <w:sz w:val="17"/>
        </w:rPr>
        <w:t xml:space="preserve">Zitiervorschlag: § 15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