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WVG — Zulässigkeit der Errichtung von Amts wegen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Verband kann von Amts wegen errichtet werden, wenn es im öffentlichen Interesse geboten ist.</w:t>
      </w:r>
    </w:p>
    <w:p>
      <w:r>
        <w:t xml:space="preserve">(2) Die Errichtung nach Absatz 1 ist insbesondere zulässig</w:t>
      </w:r>
    </w:p>
    <w:p>
      <w:pPr>
        <w:ind w:left="420"/>
      </w:pPr>
      <w:r>
        <w:t xml:space="preserve">1. zur Regelung des Wasserabflusses, zum Schutz vor Hochwasser, Sturmfluten und Überschwemmungen oder zur Unterhaltung nicht schiffbarer Gewässer, sofern die Maßnahmen zweckmäßig durch einen Verband durchgeführt werden können,</w:t>
      </w:r>
    </w:p>
    <w:p>
      <w:pPr>
        <w:ind w:left="420"/>
      </w:pPr>
      <w:r>
        <w:t xml:space="preserve">2. zur Beseitigung von Abwasser, sofern dieses zu erheblichen Schäden auf dem Gebiet der Wasserwirtschaft führt, die auf andere Weise zweckmäßig nicht verhindert werden können,</w:t>
      </w:r>
    </w:p>
    <w:p>
      <w:pPr>
        <w:ind w:left="420"/>
      </w:pPr>
      <w:r>
        <w:t xml:space="preserve">3. zur Durchführung von Unternehmen, die zum Schutz der Umwelt oder der Natur oder zur Landschaftspflege geboten sind, sofern die hierzu erforderlichen Maßnahmen zweckmäßig nur durch einen Verband durchgeführt werden können.</w:t>
      </w:r>
    </w:p>
    <w:p>
      <w:r>
        <w:t xml:space="preserve">(3) § 43 des Flurbereinigungsgesetzes bleibt unberührt.</w:t>
      </w:r>
    </w:p>
    <w:p>
      <w:r>
        <w:rPr>
          <w:color w:val="555555"/>
          <w:sz w:val="17"/>
        </w:rPr>
        <w:t xml:space="preserve">Zitiervorschlag: § 10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