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WVG — Zweck und Rechtsform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Erfüllung der in § 2 genannten Aufgaben kann ein Wasser- und Bodenverband (Verband) als Körperschaft des öffentlichen Rechts errichtet werden; er ist keine Gebietskörperschaft.</w:t>
      </w:r>
    </w:p>
    <w:p>
      <w:r>
        <w:t xml:space="preserve">(2) Der Verband dient dem öffentlichen Interesse und dem Nutzen seiner Mitglieder; er verwaltet sich im Rahmen der Gesetze selbst. Er kann nach Maßgabe landesrechtlicher Vorschriften Beamte im Sinne des Beamtenrechtsrahmengesetzes haben.</w:t>
      </w:r>
    </w:p>
    <w:p>
      <w:r>
        <w:rPr>
          <w:color w:val="555555"/>
          <w:sz w:val="17"/>
        </w:rPr>
        <w:t xml:space="preserve">Zitiervorschlag: § 1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