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WUFG</w:t>
      </w:r>
    </w:p>
    <w:p>
      <w:r>
        <w:rPr>
          <w:color w:val="555555"/>
          <w:sz w:val="18"/>
        </w:rPr>
        <w:t xml:space="preserve">Währungsumstellungsfolgengesetz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zurückzufordernden Beträge sind ab dem Zeitpunkt der rechtswidrigen Umstellung nach dem jeweils geltenden Zinssatz für Ausgleichsforderungen im Sinne der Anlage I Artikel 8 § 4 Abs. 1 des Staatsvertrages vom 18. Mai 1990 (BGBl. 1990 II S. 518, 550) zu verzinsen.</w:t>
      </w:r>
    </w:p>
    <w:p>
      <w:r>
        <w:rPr>
          <w:color w:val="555555"/>
          <w:sz w:val="17"/>
        </w:rPr>
        <w:t xml:space="preserve">Zitiervorschlag: § 3 WUFG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