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WTV — Inkrafttreten, Außerkrafttreten</w:t>
      </w:r>
    </w:p>
    <w:p>
      <w:r>
        <w:rPr>
          <w:color w:val="555555"/>
          <w:sz w:val="18"/>
        </w:rPr>
        <w:t xml:space="preserve">Wasserstofftankstellenverordnung</w:t>
      </w:r>
    </w:p>
    <w:p>
      <w:r>
        <w:rPr>
          <w:color w:val="555555"/>
          <w:sz w:val="18"/>
        </w:rPr>
        <w:t xml:space="preserve">Historische Fassung: Stand 10.12.2019 bis 06.06.2020. Dies ist nicht die aktuelle Fassung.</w:t>
      </w:r>
    </w:p>
    <w:p>
      <w:r>
        <w:t xml:space="preserve">(1) Diese Verordnung tritt am Tag nach der Verkündung in Kraft.</w:t>
      </w:r>
    </w:p>
    <w:p>
      <w:r>
        <w:t xml:space="preserve">(2) Diese Verordnung tritt sechs Monate nach ihrem Inkrafttreten außer Kraft, es sei denn, die Geltungsdauer wird mit Zustimmung des Bundesrates verlängert.</w:t>
      </w:r>
    </w:p>
    <w:p>
      <w:r>
        <w:rPr>
          <w:color w:val="555555"/>
          <w:sz w:val="17"/>
        </w:rPr>
        <w:t xml:space="preserve">Zitiervorschlag: § 6 WTV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