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WTV — Anforderungen an Kupplungen</w:t>
      </w:r>
    </w:p>
    <w:p>
      <w:r>
        <w:rPr>
          <w:color w:val="555555"/>
          <w:sz w:val="18"/>
        </w:rPr>
        <w:t xml:space="preserve">Wasserstofftankstellenverordnung</w:t>
      </w:r>
    </w:p>
    <w:p>
      <w:r>
        <w:rPr>
          <w:color w:val="555555"/>
          <w:sz w:val="18"/>
        </w:rPr>
        <w:t xml:space="preserve">Historische Fassung: Stand 10.12.2019 bis 06.06.2020. Dies ist nicht die aktuelle Fassung.</w:t>
      </w:r>
    </w:p>
    <w:p>
      <w:r>
        <w:t xml:space="preserve">Wenn eine Kupplung für die Betankung von Kraftfahrzeugen mit gasförmigem Wasserstoff, zertifiziert nach DIN EN ISO 17268, Ausgabe März 2017, am Markt verfügbar ist, müssen Kupplungen für die Betankung von Kraftfahrzeugen mit gasförmigem Wasserstoff der DIN EN ISO 17268, Ausgabe März 2017, entsprechen.</w:t>
      </w:r>
    </w:p>
    <w:p>
      <w:r>
        <w:rPr>
          <w:color w:val="555555"/>
          <w:sz w:val="17"/>
        </w:rPr>
        <w:t xml:space="preserve">Zitiervorschlag: § 5 WTV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