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WTV — Anforderungen an Wasserstofftankstellen im Außenbereich</w:t>
      </w:r>
    </w:p>
    <w:p>
      <w:r>
        <w:rPr>
          <w:color w:val="555555"/>
          <w:sz w:val="18"/>
        </w:rPr>
        <w:t xml:space="preserve">Wasserstofftankstellenverordnung</w:t>
      </w:r>
    </w:p>
    <w:p>
      <w:r>
        <w:rPr>
          <w:color w:val="555555"/>
          <w:sz w:val="18"/>
        </w:rPr>
        <w:t xml:space="preserve">Historische Fassung: Stand 10.12.2019 bis 06.06.2020. Dies ist nicht die aktuelle Fassung.</w:t>
      </w:r>
    </w:p>
    <w:p>
      <w:r>
        <w:t xml:space="preserve">Wasserstofftankstellen im Außenbereich, an denen gasförmiger Wasserstoff abgegeben wird, müssen der DIN EN 17127, Ausgabe September 2019, entsprechen.</w:t>
      </w:r>
    </w:p>
    <w:p>
      <w:r>
        <w:rPr>
          <w:color w:val="555555"/>
          <w:sz w:val="17"/>
        </w:rPr>
        <w:t xml:space="preserve">Zitiervorschlag: § 3 WTV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