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WTV — Begriffsbestimmungen</w:t>
      </w:r>
    </w:p>
    <w:p>
      <w:r>
        <w:rPr>
          <w:color w:val="555555"/>
          <w:sz w:val="18"/>
        </w:rPr>
        <w:t xml:space="preserve">Wasserstofftankstellenverordnung</w:t>
      </w:r>
    </w:p>
    <w:p>
      <w:r>
        <w:rPr>
          <w:color w:val="555555"/>
          <w:sz w:val="18"/>
        </w:rPr>
        <w:t xml:space="preserve">Historische Fassung: Stand 10.12.2019 bis 06.06.2020. Dies ist nicht die aktuelle Fassung.</w:t>
      </w:r>
    </w:p>
    <w:p>
      <w:r>
        <w:t xml:space="preserve">Im Sinne dieser Verordnung ist oder sind</w:t>
      </w:r>
    </w:p>
    <w:p>
      <w:pPr>
        <w:ind w:left="420"/>
      </w:pPr>
      <w:r>
        <w:t xml:space="preserve">1. „Wasserstofftankstelle“ eine Gasfüllanlage zum Betanken von Kraftfahrzeugen mit Wasserstoff,</w:t>
      </w:r>
    </w:p>
    <w:p>
      <w:pPr>
        <w:ind w:left="420"/>
      </w:pPr>
      <w:r>
        <w:t xml:space="preserve">2. „öffentlich zugängliche Wasserstofftankstelle“ eine Wasserstofftankstelle, zu der alle Nutzer aus der Europäischen Union nichtdiskriminierend Zugang haben,</w:t>
      </w:r>
    </w:p>
    <w:p>
      <w:pPr>
        <w:ind w:left="420"/>
      </w:pPr>
      <w:r>
        <w:t xml:space="preserve">3. „Kraftfahrzeuge“ Kraftfahrzeuge mit Wasserstoffantrieb, einschließlich Brennstoffzellenfahrzeuge.</w:t>
      </w:r>
    </w:p>
    <w:p>
      <w:r>
        <w:rPr>
          <w:color w:val="555555"/>
          <w:sz w:val="17"/>
        </w:rPr>
        <w:t xml:space="preserve">Zitiervorschlag: § 2 WTV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