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WTV — Anwendungsbereich</w:t>
      </w:r>
    </w:p>
    <w:p>
      <w:r>
        <w:rPr>
          <w:color w:val="555555"/>
          <w:sz w:val="18"/>
        </w:rPr>
        <w:t xml:space="preserve">Wasserstofftankstellenverordnung</w:t>
      </w:r>
    </w:p>
    <w:p>
      <w:r>
        <w:rPr>
          <w:color w:val="555555"/>
          <w:sz w:val="18"/>
        </w:rPr>
        <w:t xml:space="preserve">Historische Fassung: Stand 10.12.2019 bis 06.06.2020. Dies ist nicht die aktuelle Fassung.</w:t>
      </w:r>
    </w:p>
    <w:p>
      <w:r>
        <w:t xml:space="preserve">Diese Verordnung ist auf öffentlich zugängliche Wasserstofftankstellen anzuwenden, die neu errichtet oder erneuert werden. Die Anforderungen der Betriebssicherheitsverordnung bleiben unberührt.</w:t>
      </w:r>
    </w:p>
    <w:p>
      <w:r>
        <w:rPr>
          <w:color w:val="555555"/>
          <w:sz w:val="17"/>
        </w:rPr>
        <w:t xml:space="preserve">Zitiervorschlag: § 1 WTV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