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WTOVorRV</w:t>
      </w:r>
    </w:p>
    <w:p>
      <w:r>
        <w:rPr>
          <w:color w:val="555555"/>
          <w:sz w:val="18"/>
        </w:rPr>
        <w:t xml:space="preserve">Verordnung über die Gewährung von Vorrechten und Befreiungen an die Weltorganisation für Tourismus</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WTOVorRV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https://recht.nulegal.eu/gesetze/WTOVorRV/eingangsformel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