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WTOVorRV</w:t>
      </w:r>
    </w:p>
    <w:p>
      <w:r>
        <w:rPr>
          <w:color w:val="555555"/>
          <w:sz w:val="18"/>
        </w:rPr>
        <w:t xml:space="preserve">Verordnung über die Gewährung von Vorrechten und Befreiungen an die Weltorganisation für Tourismus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Gewährung von Vorrechten und Befreiungen an die Weltorganisation für Tourismus gilt deren Satzung vom 27. September 1970. Die Satzung wird nachstehend veröffentlicht.</w:t>
      </w:r>
    </w:p>
    <w:p>
      <w:r>
        <w:rPr>
          <w:color w:val="555555"/>
          <w:sz w:val="17"/>
        </w:rPr>
        <w:t xml:space="preserve">Zitiervorschlag: § 1 WTOVorRV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https://recht.nulegal.eu/gesetze/WTOVorRV/1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