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WTOÜbkG — Inkrafttreten</w:t>
      </w:r>
    </w:p>
    <w:p>
      <w:r>
        <w:rPr>
          <w:color w:val="555555"/>
          <w:sz w:val="18"/>
        </w:rPr>
        <w:t xml:space="preserve">Gesetz zu dem Übereinkommen vom 15. April 1994 zur Errichtung der Welthandelsorganisation und zur Änderung anderer Gesetze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Artikel 1, 4, 8 und 9 treten am Tage nach ihrer Verkündung in Kraft, die Artikel 2, 3 und 5 bis 7 treten an dem Tag in Kraft, an dem das Abkommen zur Errichtung der Welthandelsorganisation nach seinem Artikel XIV für die Bundesrepublik Deutschland in Kraft tritt.</w:t>
      </w:r>
    </w:p>
    <w:p>
      <w:r>
        <w:t xml:space="preserve">(2) Der Tag des Inkrafttretens ist im Bundesgesetzblatt bekanntzugeben.</w:t>
      </w:r>
    </w:p>
    <w:p>
      <w:r>
        <w:rPr>
          <w:color w:val="555555"/>
          <w:sz w:val="17"/>
        </w:rPr>
        <w:t xml:space="preserve">Zitiervorschlag: Art 10 WTOÜbkG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https://recht.nulegal.eu/gesetze/WTO%C3%9CbkG/10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