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WTG DVO (Nordrhein-Westfalen) — Dokumentationspflichten</w:t>
      </w:r>
    </w:p>
    <w:p>
      <w:r>
        <w:rPr>
          <w:color w:val="555555"/>
          <w:sz w:val="18"/>
        </w:rPr>
        <w:t xml:space="preserve">Wohn- und Teilhabegesetz-Durchführungsverordnung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Kurzzeiteinrichtungen und Hospize gelten die Bestimmungen des § 24 entsprechend.</w:t>
      </w:r>
    </w:p>
    <w:p>
      <w:r>
        <w:t xml:space="preserve">(2) Für die Einrichtungen der Tages- und Nachtpflege gelten die Bestimmungen des § 24 Nummer 4 bis 6 entsprechend.</w:t>
      </w:r>
    </w:p>
    <w:p>
      <w:r>
        <w:t xml:space="preserve">Teil 3</w:t>
      </w:r>
    </w:p>
    <w:p>
      <w:r>
        <w:t xml:space="preserve">Schlussbestimmungen</w:t>
      </w:r>
    </w:p>
    <w:p>
      <w:r>
        <w:rPr>
          <w:color w:val="555555"/>
          <w:sz w:val="17"/>
        </w:rPr>
        <w:t xml:space="preserve">Zitiervorschlag: § 44 WTG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https://recht.nulegal.eu/gesetze/WTG%20DVO/44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