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WTG DVO (Nordrhein-Westfalen) — Besondere Fachkraft</w:t>
      </w:r>
    </w:p>
    <w:p>
      <w:r>
        <w:rPr>
          <w:color w:val="555555"/>
          <w:sz w:val="18"/>
        </w:rPr>
        <w:t xml:space="preserve">Wohn- und Teilhabegesetz-Durchführungsverordnung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Hospizen muss mindestens eine Pflegefachkraft eine Fortbildung im Bereich Palliativpflege abgeschlossen haben.</w:t>
      </w:r>
    </w:p>
    <w:p>
      <w:r>
        <w:t xml:space="preserve">Abschnitt 3</w:t>
      </w:r>
    </w:p>
    <w:p>
      <w:r>
        <w:t xml:space="preserve">Mitwirkung und Mitbestimmung der Nutzerinnen und Nutzer</w:t>
      </w:r>
    </w:p>
    <w:p>
      <w:r>
        <w:rPr>
          <w:color w:val="555555"/>
          <w:sz w:val="17"/>
        </w:rPr>
        <w:t xml:space="preserve">Zitiervorschlag: § 41 WTG DVO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https://recht.nulegal.eu/gesetze/WTG%20DVO/41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