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WTG DVO (Nordrhein-Westfalen) — Einrichtungen der Kurzzeitbetreuung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Anforderungen an die Wohnqualität richten sich nach §§ 6 bis 8.</w:t>
      </w:r>
    </w:p>
    <w:p>
      <w:r>
        <w:t xml:space="preserve">Abschnitt 2</w:t>
      </w:r>
    </w:p>
    <w:p>
      <w:r>
        <w:t xml:space="preserve">Personelle Anforderungen</w:t>
      </w:r>
    </w:p>
    <w:p>
      <w:r>
        <w:rPr>
          <w:color w:val="555555"/>
          <w:sz w:val="17"/>
        </w:rPr>
        <w:t xml:space="preserve">Zitiervorschlag: § 40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https://recht.nulegal.eu/gesetze/WTG%20DVO/40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