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WTG DVO (Nordrhein-Westfalen) — Dokumentationspflichten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Leistungsanbieterinnen und Leistungsanbieter in ambulanten Diensten gelten die Bestimmungen des § 24 Nummer 4 bis 6 entsprechend.</w:t>
      </w:r>
    </w:p>
    <w:p>
      <w:r>
        <w:t xml:space="preserve">Kapitel 5</w:t>
      </w:r>
    </w:p>
    <w:p>
      <w:r>
        <w:t xml:space="preserve">Gasteinrichtungen</w:t>
      </w:r>
    </w:p>
    <w:p>
      <w:r>
        <w:t xml:space="preserve">Abschnitt 1</w:t>
      </w:r>
    </w:p>
    <w:p>
      <w:r>
        <w:t xml:space="preserve">Anforderungen an die Wohnqualität</w:t>
      </w:r>
    </w:p>
    <w:p>
      <w:r>
        <w:rPr>
          <w:color w:val="555555"/>
          <w:sz w:val="17"/>
        </w:rPr>
        <w:t xml:space="preserve">Zitiervorschlag: § 37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