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WTG DVO (Nordrhein-Westfalen) — Dokumentationspflichten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Bestimmungen des § 24 gelten entsprechend.</w:t>
      </w:r>
    </w:p>
    <w:p>
      <w:r>
        <w:t xml:space="preserve">Kapitel 3</w:t>
      </w:r>
    </w:p>
    <w:p>
      <w:r>
        <w:t xml:space="preserve">Servicewohnen</w:t>
      </w:r>
    </w:p>
    <w:p>
      <w:r>
        <w:rPr>
          <w:color w:val="555555"/>
          <w:sz w:val="17"/>
        </w:rPr>
        <w:t xml:space="preserve">Zitiervorschlag: § 34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