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WTG DVO (Nordrhein-Westfalen) — Mitwirkung der Nutzerinnen- und Nutzerversammlung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Nutzerinnen- und Nutzerversammlung wirkt insbesondere mit bei:</w:t>
      </w:r>
    </w:p>
    <w:p>
      <w:r>
        <w:t xml:space="preserve">1. Maßnahmen zum Verhindern von Unfällen,</w:t>
      </w:r>
    </w:p>
    <w:p>
      <w:r>
        <w:t xml:space="preserve">2. einer Änderung der Kostensätze,</w:t>
      </w:r>
    </w:p>
    <w:p>
      <w:r>
        <w:t xml:space="preserve">3. wesentlichen Veränderungen des Angebotes,</w:t>
      </w:r>
    </w:p>
    <w:p>
      <w:r>
        <w:t xml:space="preserve">4. einem Zusammenschluss mit einer anderen Wohngemeinschaft,</w:t>
      </w:r>
    </w:p>
    <w:p>
      <w:r>
        <w:t xml:space="preserve">5. Entscheidungen über umfassende Baumaßnahmen und Instandsetzungsarbeiten,</w:t>
      </w:r>
    </w:p>
    <w:p>
      <w:r>
        <w:t xml:space="preserve">6. der Einstellung der verantwortlichen Fachkraft,</w:t>
      </w:r>
    </w:p>
    <w:p>
      <w:r>
        <w:t xml:space="preserve">7. der Aufnahme neuer Nutzerinnen und Nutzer.</w:t>
      </w:r>
    </w:p>
    <w:p>
      <w:r>
        <w:t xml:space="preserve">(2) Die Leistungsanbieterin oder der Leistungsanbieter ist verpflichtet, der Nutzerinnen- und Nutzerversammlung auf Nachfrage mitzuteilen, wie Finanzierungsbeiträge einer Nutzerin oder eines Nutzers nach § 7 Absatz 2 des Wohn- und Teilhabegesetzes verwendet werden. In diesem Fall müssen die Mitglieder der Nutzerinnen- und Nutzerversammlung über das, was sie erfahren, schweigen.</w:t>
      </w:r>
    </w:p>
    <w:p>
      <w:r>
        <w:rPr>
          <w:color w:val="555555"/>
          <w:sz w:val="17"/>
        </w:rPr>
        <w:t xml:space="preserve">Zitiervorschlag: § 30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