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WTG DVO (Nordrhein-Westfalen) — Mitbestimmung der Nutzerinnen- und Nutzerversammlung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Nutzerinnen- und Nutzerversammlung bestimmt mit bei Entscheidungen zur</w:t>
      </w:r>
    </w:p>
    <w:p>
      <w:r>
        <w:t xml:space="preserve">1. Aufstellung der Grundsätze der Verpflegungsplanung,</w:t>
      </w:r>
    </w:p>
    <w:p>
      <w:r>
        <w:t xml:space="preserve">2. Planung und Durchführung von Veranstaltungen zur Freizeitgestaltung,</w:t>
      </w:r>
    </w:p>
    <w:p>
      <w:r>
        <w:t xml:space="preserve">3. Gestaltung der Grundsätze von Unterkunft und Betreuung,</w:t>
      </w:r>
    </w:p>
    <w:p>
      <w:r>
        <w:t xml:space="preserve">4. Ausstattung und Gestaltung der Gemeinschaftsräume und - einrichtungen,</w:t>
      </w:r>
    </w:p>
    <w:p>
      <w:r>
        <w:t xml:space="preserve">5. sozialen Betreuung und Teilhabe am Leben in der Gemeinschaft,</w:t>
      </w:r>
    </w:p>
    <w:p>
      <w:r>
        <w:t xml:space="preserve">6. Gestaltung der Hausordnung in der Wohngemeinschaft,</w:t>
      </w:r>
    </w:p>
    <w:p>
      <w:r>
        <w:t xml:space="preserve">7. Verwendung gemeinsamer Mittel für die Haushaltsführung in der Wohngemeinschaft vorbehaltlich vorrangiger vertraglicher Regelungen.</w:t>
      </w:r>
    </w:p>
    <w:p>
      <w:r>
        <w:t xml:space="preserve">Zur Umsetzung der Mitbestimmung informiert die verantwortliche Fachkraft die Nutzerinnen und Nutzer schriftlich oder durch Aushang über die mitbestimmungspflichtige Fragestellung. Sofern die Nutzerinnen- und Nutzerversammlung nicht binnen vier Wochen nach der Information eine Rückmeldung gibt oder Gründe für eine Verzögerung der Entscheidung mitteilt, gilt ihre Zustimmung zur Entscheidung als erteilt.</w:t>
      </w:r>
    </w:p>
    <w:p>
      <w:r>
        <w:rPr>
          <w:color w:val="555555"/>
          <w:sz w:val="17"/>
        </w:rPr>
        <w:t xml:space="preserve">Zitiervorschlag: § 29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