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WTG DVO (Nordrhein-Westfalen) — Allgemeine Anforderungen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Leistungsanbieterin oder der Leistungsanbieter hat, soweit die Versorgung von Nutzerinnen und Nutzern mit intensiv-pflegerischem Betreuungsbedarf es erfordert, jederzeit eine Notstromversorgung zu gewährleisten.</w:t>
      </w:r>
    </w:p>
    <w:p>
      <w:r>
        <w:t xml:space="preserve">(2) Die Leistungsanbieterin oder der Leistungsanbieter hat für eine den klimatischen Verhältnissen angepasste Innentemperatur in den Individual- und Gemeinschaftsbereichen zu sorgen.</w:t>
      </w:r>
    </w:p>
    <w:p>
      <w:r>
        <w:rPr>
          <w:color w:val="555555"/>
          <w:sz w:val="17"/>
        </w:rPr>
        <w:t xml:space="preserve">Zitiervorschlag: § 25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