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20 WTG DVO (Nordrhein-Westfalen) — Bildung und Amtszeit des Beratungsgremiums</w:t>
      </w:r>
    </w:p>
    <w:p>
      <w:r>
        <w:rPr>
          <w:color w:val="555555"/>
          <w:sz w:val="18"/>
        </w:rPr>
        <w:t xml:space="preserve">Wohn- und Teilhabegesetz-Durchführungsverordnung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Beratungsgremium nach § 22 Absatz 5 Satz 1 des Wohn- und Teilhabegesetzes wird auf Wunsch des Beirates gebildet. Das Beratungsgremium soll nicht mehr Mitglieder als der Beirat haben. Die Einrichtungsleitung fordert Interessentinnen und Interessenten durch einen öffentlichen Aushang in der Einrichtung auf, ihre Bereitschaft an einer Mitarbeit im Beratungsgremium zu bekunden. Der Beirat bestimmt die Mitglieder des Beratungsgremiums und informiert die Einrichtungsleitung. Diese hat die Nutzerinnen und Nutzer in geeigneter Weise von der Bestellung zu unterrichten. Die Amtszeit des Beratungsgremiums entspricht der Amtszeit des Beirates.</w:t>
      </w:r>
    </w:p>
    <w:p>
      <w:r>
        <w:rPr>
          <w:color w:val="555555"/>
          <w:sz w:val="17"/>
        </w:rPr>
        <w:t xml:space="preserve">Zitiervorschlag: § 20 WTG 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https://recht.nulegal.eu/gesetze/WTG%20DVO/20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20 WTG DVO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