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WTG DVO (Nordrhein-Westfalen) — Anzahl der Mitglieder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Zahl der Mitglieder des Beirates bestimmt sich wie folgt:</w:t>
      </w:r>
    </w:p>
    <w:p>
      <w:r>
        <w:t xml:space="preserve">a) drei bei bis zu 50 Nutzerinnen und Nutzern,</w:t>
      </w:r>
    </w:p>
    <w:p>
      <w:r>
        <w:t xml:space="preserve">b) jeweils zwei je angefangene weitere 50 Nutzerinnen und Nutzer.</w:t>
      </w:r>
    </w:p>
    <w:p>
      <w:r>
        <w:rPr>
          <w:color w:val="555555"/>
          <w:sz w:val="17"/>
        </w:rPr>
        <w:t xml:space="preserve">Zitiervorschlag: § 14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