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WStrGEG — Inkrafttreten</w:t>
      </w:r>
    </w:p>
    <w:p>
      <w:r>
        <w:rPr>
          <w:color w:val="555555"/>
          <w:sz w:val="18"/>
        </w:rPr>
        <w:t xml:space="preserve">Einführungsgesetz zum 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Wehrstrafgesetz und dieses Einführungsgesetz treten einen Monat nach dem Tage der Verkündung in Kraft.</w:t>
      </w:r>
    </w:p>
    <w:p>
      <w:r>
        <w:t xml:space="preserve">(2) § 43 des Wehrstrafgesetzes tritt, soweit er die Sabotage betrifft, nicht vor dem Vierten Strafrechtsänderungsgesetz in Kraft.</w:t>
      </w:r>
    </w:p>
    <w:p>
      <w:r>
        <w:rPr>
          <w:color w:val="555555"/>
          <w:sz w:val="17"/>
        </w:rPr>
        <w:t xml:space="preserve">Zitiervorschlag: Art 8 WStrGEG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https://recht.nulegal.eu/gesetze/WStrGEG/8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