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WStrGEG — Ausführungsvorschriften für den Vollzug</w:t>
      </w:r>
    </w:p>
    <w:p>
      <w:r>
        <w:rPr>
          <w:color w:val="555555"/>
          <w:sz w:val="18"/>
        </w:rPr>
        <w:t xml:space="preserve">Einführungsgesetz zum Wehrstrafgesetz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für den Vollzug durch Behörden der Bundeswehr Vorschriften zu erlassen, die sich auf die Berechnung der Dauer der Freiheitsentziehung, die Art der Unterbringung, die Behandlung, die Beschäftigung, die Gewährung und den Entzug von Vergünstigungen, den Verkehr mit der Außenwelt, die Ordnung und Sicherheit im Vollzug und die Ahndung von Verstößen hiergegen beziehen.</w:t>
      </w:r>
    </w:p>
    <w:p>
      <w:r>
        <w:t xml:space="preserve">(2) Durch die Rechtsverordnung können die Grundrechte der körperlichen Unversehrtheit und der Freiheit der Person (Artikel 2 Abs. 2 Satz 1 und 2 des Grundgesetzes) sowie das Grundrecht des Postgeheimnisses (Artikel 10 Abs. 1 des Grundgesetzes) eingeschränkt werden.</w:t>
      </w:r>
    </w:p>
    <w:p>
      <w:r>
        <w:rPr>
          <w:color w:val="555555"/>
          <w:sz w:val="17"/>
        </w:rPr>
        <w:t xml:space="preserve">Zitiervorschlag: Art 7 WStrGEG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