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WStrG — Strafarrest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Höchstmaß des Strafarrestes ist sechs Monate, das Mindestmaß zwei Wochen.</w:t>
      </w:r>
    </w:p>
    <w:p>
      <w:r>
        <w:t xml:space="preserve">(2) Der Strafarrest besteht in Freiheitsentziehung. Im Vollzug soll der Soldat, soweit tunlich, in seiner Ausbildung gefördert werden.</w:t>
      </w:r>
    </w:p>
    <w:p>
      <w:r>
        <w:t xml:space="preserve">(3) Die Vollstreckung des Strafarrestes verjährt in zwei Jahren.</w:t>
      </w:r>
    </w:p>
    <w:p>
      <w:r>
        <w:rPr>
          <w:color w:val="555555"/>
          <w:sz w:val="17"/>
        </w:rPr>
        <w:t xml:space="preserve">Zitiervorschlag: § 9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